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1"/>
        <w:numPr>
          <w:ilvl w:val="0"/>
          <w:numId w:val="2"/>
        </w:numPr>
        <w:ind w:left="0" w:right="0" w:hanging="0"/>
        <w:rPr/>
      </w:pPr>
      <w:bookmarkStart w:id="0" w:name="__DdeLink__657_1788979233"/>
      <w:r>
        <w:rPr/>
        <w:t xml:space="preserve">BUDGET 2 </w:t>
      </w:r>
      <w:r>
        <w:rPr/>
        <w:t>TTC</w:t>
      </w:r>
    </w:p>
    <w:p>
      <w:pPr>
        <w:pStyle w:val="Titre3"/>
        <w:ind w:left="0" w:right="0" w:hanging="0"/>
        <w:jc w:val="center"/>
        <w:rPr/>
      </w:pPr>
      <w:r>
        <w:rPr/>
        <w:t>Réalisez le budget de trésorerie pour le deuxième trimestre</w:t>
      </w:r>
    </w:p>
    <w:p>
      <w:pPr>
        <w:pStyle w:val="Corpsdetexte"/>
        <w:ind w:left="0" w:right="0" w:hanging="0"/>
        <w:rPr/>
      </w:pPr>
      <w:r>
        <w:rPr/>
      </w:r>
    </w:p>
    <w:p>
      <w:pPr>
        <w:pStyle w:val="Corpsdetexte"/>
        <w:numPr>
          <w:ilvl w:val="0"/>
          <w:numId w:val="3"/>
        </w:numPr>
        <w:spacing w:lineRule="auto" w:line="240" w:before="57" w:after="57"/>
        <w:rPr/>
      </w:pPr>
      <w:r>
        <w:rPr/>
        <w:t>Le solde initial de la banque est de 15 000</w:t>
      </w:r>
    </w:p>
    <w:p>
      <w:pPr>
        <w:pStyle w:val="Corpsdetexte"/>
        <w:numPr>
          <w:ilvl w:val="0"/>
          <w:numId w:val="3"/>
        </w:numPr>
        <w:spacing w:lineRule="auto" w:line="240" w:before="57" w:after="57"/>
        <w:rPr/>
      </w:pPr>
      <w:r>
        <w:rPr/>
        <w:t>prévisions pour le trimestre :</w:t>
      </w:r>
    </w:p>
    <w:tbl>
      <w:tblPr>
        <w:tblW w:w="8725" w:type="dxa"/>
        <w:jc w:val="center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2124"/>
        <w:gridCol w:w="1313"/>
        <w:gridCol w:w="1312"/>
        <w:gridCol w:w="1313"/>
        <w:gridCol w:w="1424"/>
        <w:gridCol w:w="1238"/>
      </w:tblGrid>
      <w:tr>
        <w:trPr/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Eléments</w:t>
            </w:r>
          </w:p>
        </w:tc>
        <w:tc>
          <w:tcPr>
            <w:tcW w:w="1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Février</w:t>
            </w:r>
          </w:p>
        </w:tc>
        <w:tc>
          <w:tcPr>
            <w:tcW w:w="13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Mars</w:t>
            </w:r>
          </w:p>
        </w:tc>
        <w:tc>
          <w:tcPr>
            <w:tcW w:w="1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Avril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Mai</w:t>
            </w:r>
          </w:p>
        </w:tc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Juin</w:t>
            </w:r>
          </w:p>
        </w:tc>
      </w:tr>
      <w:tr>
        <w:trPr/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Ventes</w:t>
            </w:r>
          </w:p>
        </w:tc>
        <w:tc>
          <w:tcPr>
            <w:tcW w:w="1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110 000</w:t>
            </w:r>
          </w:p>
        </w:tc>
        <w:tc>
          <w:tcPr>
            <w:tcW w:w="13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115 000</w:t>
            </w:r>
          </w:p>
        </w:tc>
        <w:tc>
          <w:tcPr>
            <w:tcW w:w="1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120 000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140 000</w:t>
            </w:r>
          </w:p>
        </w:tc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160 000</w:t>
            </w:r>
          </w:p>
        </w:tc>
      </w:tr>
      <w:tr>
        <w:trPr/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Achats</w:t>
            </w:r>
          </w:p>
        </w:tc>
        <w:tc>
          <w:tcPr>
            <w:tcW w:w="1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55 000</w:t>
            </w:r>
          </w:p>
        </w:tc>
        <w:tc>
          <w:tcPr>
            <w:tcW w:w="13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58 000</w:t>
            </w:r>
          </w:p>
        </w:tc>
        <w:tc>
          <w:tcPr>
            <w:tcW w:w="1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60 000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75 000</w:t>
            </w:r>
          </w:p>
        </w:tc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82 000</w:t>
            </w:r>
          </w:p>
        </w:tc>
      </w:tr>
      <w:tr>
        <w:trPr/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TVA à décaisser</w:t>
            </w:r>
          </w:p>
        </w:tc>
        <w:tc>
          <w:tcPr>
            <w:tcW w:w="1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9 000</w:t>
            </w:r>
          </w:p>
        </w:tc>
        <w:tc>
          <w:tcPr>
            <w:tcW w:w="13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9 000</w:t>
            </w:r>
          </w:p>
        </w:tc>
        <w:tc>
          <w:tcPr>
            <w:tcW w:w="1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9 600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10 500</w:t>
            </w:r>
          </w:p>
        </w:tc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10 700</w:t>
            </w:r>
          </w:p>
        </w:tc>
      </w:tr>
      <w:tr>
        <w:trPr/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Salaires</w:t>
            </w:r>
          </w:p>
        </w:tc>
        <w:tc>
          <w:tcPr>
            <w:tcW w:w="1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35 000</w:t>
            </w:r>
          </w:p>
        </w:tc>
        <w:tc>
          <w:tcPr>
            <w:tcW w:w="13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35 000</w:t>
            </w:r>
          </w:p>
        </w:tc>
        <w:tc>
          <w:tcPr>
            <w:tcW w:w="1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36 000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35 000</w:t>
            </w:r>
          </w:p>
        </w:tc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37 000</w:t>
            </w:r>
          </w:p>
        </w:tc>
      </w:tr>
    </w:tbl>
    <w:p>
      <w:pPr>
        <w:pStyle w:val="Corpsdetexte"/>
        <w:numPr>
          <w:ilvl w:val="0"/>
          <w:numId w:val="4"/>
        </w:numPr>
        <w:spacing w:before="57" w:after="0"/>
        <w:rPr/>
      </w:pPr>
      <w:r>
        <w:rPr/>
        <w:t xml:space="preserve">Les clients règlent leurs factures de la manière suivante : 30 % dans le mois de la vente, 70% le mois suivant. </w:t>
      </w:r>
    </w:p>
    <w:p>
      <w:pPr>
        <w:pStyle w:val="Corpsdetexte"/>
        <w:numPr>
          <w:ilvl w:val="0"/>
          <w:numId w:val="4"/>
        </w:numPr>
        <w:spacing w:before="57" w:after="0"/>
        <w:rPr/>
      </w:pPr>
      <w:r>
        <w:rPr/>
        <w:t xml:space="preserve">Les règlements des factures aux fournisseurs se font de la manière suivante : 50 % dans le mois de l’achat, 30 % le mois suivant et 20 % dans deux mois. </w:t>
      </w:r>
    </w:p>
    <w:p>
      <w:pPr>
        <w:pStyle w:val="Corpsdetexte"/>
        <w:numPr>
          <w:ilvl w:val="0"/>
          <w:numId w:val="4"/>
        </w:numPr>
        <w:spacing w:before="57" w:after="0"/>
        <w:rPr/>
      </w:pPr>
      <w:r>
        <w:rPr/>
        <w:t>Les cotisations patronales s'élèvent à 40 % et sont réglées le mois suivant.</w:t>
      </w:r>
    </w:p>
    <w:p>
      <w:pPr>
        <w:pStyle w:val="Corpsdetexte"/>
        <w:numPr>
          <w:ilvl w:val="0"/>
          <w:numId w:val="4"/>
        </w:numPr>
        <w:spacing w:before="57" w:after="0"/>
        <w:rPr/>
      </w:pPr>
      <w:bookmarkStart w:id="1" w:name="__DdeLink__657_1788979233"/>
      <w:r>
        <w:rPr/>
        <w:t>Les autres charges décaissées sont estimées à 2</w:t>
      </w:r>
      <w:bookmarkEnd w:id="1"/>
      <w:r>
        <w:rPr/>
        <w:t xml:space="preserve"> 000 par mois. Elles sont réglées au comptant.</w:t>
      </w:r>
    </w:p>
    <w:p>
      <w:pPr>
        <w:pStyle w:val="Titre1"/>
        <w:numPr>
          <w:ilvl w:val="0"/>
          <w:numId w:val="2"/>
        </w:numPr>
        <w:ind w:left="0" w:right="0" w:hanging="0"/>
        <w:rPr/>
      </w:pPr>
      <w:r>
        <w:rPr/>
      </w:r>
    </w:p>
    <w:p>
      <w:pPr>
        <w:pStyle w:val="Titre1"/>
        <w:numPr>
          <w:ilvl w:val="0"/>
          <w:numId w:val="2"/>
        </w:numPr>
        <w:ind w:left="0" w:right="0" w:hanging="0"/>
        <w:rPr/>
      </w:pPr>
      <w:r>
        <w:rPr/>
      </w:r>
    </w:p>
    <w:p>
      <w:pPr>
        <w:pStyle w:val="Titre1"/>
        <w:numPr>
          <w:ilvl w:val="0"/>
          <w:numId w:val="2"/>
        </w:numPr>
        <w:ind w:left="0" w:right="0" w:hanging="0"/>
        <w:rPr/>
      </w:pPr>
      <w:r>
        <w:rPr/>
      </w:r>
    </w:p>
    <w:p>
      <w:pPr>
        <w:pStyle w:val="Titre1"/>
        <w:numPr>
          <w:ilvl w:val="0"/>
          <w:numId w:val="2"/>
        </w:numPr>
        <w:ind w:left="0" w:right="0" w:hanging="0"/>
        <w:rPr/>
      </w:pPr>
      <w:r>
        <w:rPr/>
        <w:t xml:space="preserve">BUDGET 2 </w:t>
      </w:r>
      <w:r>
        <w:rPr/>
        <w:t>TTC</w:t>
      </w:r>
    </w:p>
    <w:p>
      <w:pPr>
        <w:pStyle w:val="Titre3"/>
        <w:ind w:left="0" w:right="0" w:hanging="0"/>
        <w:jc w:val="center"/>
        <w:rPr/>
      </w:pPr>
      <w:r>
        <w:rPr/>
        <w:t>Réalisez le budget de trésorerie pour le deuxième trimestre</w:t>
      </w:r>
    </w:p>
    <w:p>
      <w:pPr>
        <w:pStyle w:val="Corpsdetexte"/>
        <w:ind w:left="0" w:right="0" w:hanging="0"/>
        <w:rPr/>
      </w:pPr>
      <w:r>
        <w:rPr/>
      </w:r>
    </w:p>
    <w:p>
      <w:pPr>
        <w:pStyle w:val="Corpsdetexte"/>
        <w:numPr>
          <w:ilvl w:val="0"/>
          <w:numId w:val="3"/>
        </w:numPr>
        <w:spacing w:lineRule="auto" w:line="240" w:before="57" w:after="57"/>
        <w:rPr/>
      </w:pPr>
      <w:r>
        <w:rPr/>
        <w:t>Le solde initial de la banque est de 15 000</w:t>
      </w:r>
    </w:p>
    <w:p>
      <w:pPr>
        <w:pStyle w:val="Corpsdetexte"/>
        <w:numPr>
          <w:ilvl w:val="0"/>
          <w:numId w:val="3"/>
        </w:numPr>
        <w:spacing w:lineRule="auto" w:line="240" w:before="57" w:after="57"/>
        <w:rPr/>
      </w:pPr>
      <w:r>
        <w:rPr/>
        <w:t>prévisions pour le trimestre :</w:t>
      </w:r>
    </w:p>
    <w:tbl>
      <w:tblPr>
        <w:tblW w:w="8725" w:type="dxa"/>
        <w:jc w:val="center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2124"/>
        <w:gridCol w:w="1313"/>
        <w:gridCol w:w="1312"/>
        <w:gridCol w:w="1313"/>
        <w:gridCol w:w="1424"/>
        <w:gridCol w:w="1238"/>
      </w:tblGrid>
      <w:tr>
        <w:trPr/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Eléments</w:t>
            </w:r>
          </w:p>
        </w:tc>
        <w:tc>
          <w:tcPr>
            <w:tcW w:w="1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Février</w:t>
            </w:r>
          </w:p>
        </w:tc>
        <w:tc>
          <w:tcPr>
            <w:tcW w:w="13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Mars</w:t>
            </w:r>
          </w:p>
        </w:tc>
        <w:tc>
          <w:tcPr>
            <w:tcW w:w="1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Avril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Mai</w:t>
            </w:r>
          </w:p>
        </w:tc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Juin</w:t>
            </w:r>
          </w:p>
        </w:tc>
      </w:tr>
      <w:tr>
        <w:trPr/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Ventes</w:t>
            </w:r>
          </w:p>
        </w:tc>
        <w:tc>
          <w:tcPr>
            <w:tcW w:w="1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110 000</w:t>
            </w:r>
          </w:p>
        </w:tc>
        <w:tc>
          <w:tcPr>
            <w:tcW w:w="13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115 000</w:t>
            </w:r>
          </w:p>
        </w:tc>
        <w:tc>
          <w:tcPr>
            <w:tcW w:w="1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120 000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140 000</w:t>
            </w:r>
          </w:p>
        </w:tc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160 000</w:t>
            </w:r>
          </w:p>
        </w:tc>
      </w:tr>
      <w:tr>
        <w:trPr/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Achats</w:t>
            </w:r>
          </w:p>
        </w:tc>
        <w:tc>
          <w:tcPr>
            <w:tcW w:w="1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55 000</w:t>
            </w:r>
          </w:p>
        </w:tc>
        <w:tc>
          <w:tcPr>
            <w:tcW w:w="13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58 000</w:t>
            </w:r>
          </w:p>
        </w:tc>
        <w:tc>
          <w:tcPr>
            <w:tcW w:w="1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60 000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75 000</w:t>
            </w:r>
          </w:p>
        </w:tc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82 000</w:t>
            </w:r>
          </w:p>
        </w:tc>
      </w:tr>
      <w:tr>
        <w:trPr/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TVA à décaisser</w:t>
            </w:r>
          </w:p>
        </w:tc>
        <w:tc>
          <w:tcPr>
            <w:tcW w:w="1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9 000</w:t>
            </w:r>
          </w:p>
        </w:tc>
        <w:tc>
          <w:tcPr>
            <w:tcW w:w="13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9 000</w:t>
            </w:r>
          </w:p>
        </w:tc>
        <w:tc>
          <w:tcPr>
            <w:tcW w:w="1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9 600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10 500</w:t>
            </w:r>
          </w:p>
        </w:tc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10 700</w:t>
            </w:r>
          </w:p>
        </w:tc>
      </w:tr>
      <w:tr>
        <w:trPr/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Salaires</w:t>
            </w:r>
          </w:p>
        </w:tc>
        <w:tc>
          <w:tcPr>
            <w:tcW w:w="1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35 000</w:t>
            </w:r>
          </w:p>
        </w:tc>
        <w:tc>
          <w:tcPr>
            <w:tcW w:w="13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35 000</w:t>
            </w:r>
          </w:p>
        </w:tc>
        <w:tc>
          <w:tcPr>
            <w:tcW w:w="1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36 000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35 000</w:t>
            </w:r>
          </w:p>
        </w:tc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37 000</w:t>
            </w:r>
          </w:p>
        </w:tc>
      </w:tr>
    </w:tbl>
    <w:p>
      <w:pPr>
        <w:pStyle w:val="Corpsdetexte"/>
        <w:numPr>
          <w:ilvl w:val="0"/>
          <w:numId w:val="5"/>
        </w:numPr>
        <w:spacing w:before="57" w:after="0"/>
        <w:rPr/>
      </w:pPr>
      <w:r>
        <w:rPr/>
        <w:t xml:space="preserve">Les clients règlent leurs factures de la manière suivante : 30 % dans le mois de la vente, 70% le mois suivant. </w:t>
      </w:r>
    </w:p>
    <w:p>
      <w:pPr>
        <w:pStyle w:val="Corpsdetexte"/>
        <w:numPr>
          <w:ilvl w:val="0"/>
          <w:numId w:val="5"/>
        </w:numPr>
        <w:spacing w:before="57" w:after="0"/>
        <w:rPr/>
      </w:pPr>
      <w:r>
        <w:rPr/>
        <w:t xml:space="preserve">Les règlements des factures aux fournisseurs se font de la manière suivante : 50 % dans le mois de l’achat, 30 % le mois suivant et 20 % dans deux mois. </w:t>
      </w:r>
    </w:p>
    <w:p>
      <w:pPr>
        <w:pStyle w:val="Corpsdetexte"/>
        <w:numPr>
          <w:ilvl w:val="0"/>
          <w:numId w:val="5"/>
        </w:numPr>
        <w:spacing w:before="57" w:after="0"/>
        <w:rPr/>
      </w:pPr>
      <w:r>
        <w:rPr/>
        <w:t>Les cotisations patronales s'élèvent à 40 % et sont réglées le mois suivant.</w:t>
      </w:r>
    </w:p>
    <w:p>
      <w:pPr>
        <w:pStyle w:val="Corpsdetexte"/>
        <w:numPr>
          <w:ilvl w:val="0"/>
          <w:numId w:val="5"/>
        </w:numPr>
        <w:spacing w:before="57" w:after="0"/>
        <w:rPr/>
      </w:pPr>
      <w:r>
        <w:rPr/>
        <w:t>Les autres charges décaissées sont estimées à 2 000 par mois. Elles sont réglées au comptant.</w:t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rebuchet M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re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rebuchet MS" w:hAnsi="Trebuchet MS" w:eastAsia="Noto Sans CJK SC Regular" w:cs="FreeSans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before="0" w:after="0"/>
      <w:ind w:left="0" w:right="0" w:hanging="0"/>
      <w:jc w:val="left"/>
    </w:pPr>
    <w:rPr>
      <w:rFonts w:ascii="Trebuchet MS" w:hAnsi="Trebuchet MS" w:eastAsia="Noto Sans CJK SC Regular" w:cs="FreeSans"/>
      <w:color w:val="00000A"/>
      <w:sz w:val="22"/>
      <w:szCs w:val="24"/>
      <w:lang w:val="fr-FR" w:eastAsia="zh-CN" w:bidi="hi-IN"/>
    </w:rPr>
  </w:style>
  <w:style w:type="paragraph" w:styleId="Titre1">
    <w:name w:val="Heading 1"/>
    <w:basedOn w:val="Titre"/>
    <w:qFormat/>
    <w:pPr>
      <w:numPr>
        <w:ilvl w:val="0"/>
        <w:numId w:val="1"/>
      </w:numPr>
      <w:spacing w:before="0" w:after="283"/>
      <w:ind w:left="0" w:right="0" w:hanging="0"/>
      <w:contextualSpacing/>
      <w:jc w:val="center"/>
      <w:outlineLvl w:val="0"/>
      <w:outlineLvl w:val="0"/>
    </w:pPr>
    <w:rPr>
      <w:rFonts w:ascii="Liberation Sans" w:hAnsi="Liberation Sans"/>
      <w:b/>
      <w:bCs w:val="false"/>
      <w:caps/>
      <w:sz w:val="36"/>
      <w:szCs w:val="32"/>
    </w:rPr>
  </w:style>
  <w:style w:type="paragraph" w:styleId="Titre2">
    <w:name w:val="Heading 2"/>
    <w:basedOn w:val="Titre"/>
    <w:qFormat/>
    <w:pPr>
      <w:suppressLineNumbers/>
      <w:spacing w:before="227" w:after="113"/>
      <w:ind w:left="0" w:right="0" w:hanging="0"/>
      <w:contextualSpacing/>
      <w:outlineLvl w:val="1"/>
    </w:pPr>
    <w:rPr>
      <w:rFonts w:ascii="Liberation Sans" w:hAnsi="Liberation Sans" w:eastAsia="Noto Sans CJK SC Regular" w:cs="FreeSans"/>
      <w:b/>
      <w:bCs w:val="false"/>
      <w:caps/>
      <w:sz w:val="28"/>
      <w:szCs w:val="26"/>
    </w:rPr>
  </w:style>
  <w:style w:type="paragraph" w:styleId="Titre3">
    <w:name w:val="Heading 3"/>
    <w:basedOn w:val="Titre"/>
    <w:qFormat/>
    <w:pPr>
      <w:suppressLineNumbers/>
      <w:spacing w:before="57" w:after="0"/>
      <w:ind w:left="0" w:right="0" w:hanging="0"/>
      <w:outlineLvl w:val="2"/>
    </w:pPr>
    <w:rPr>
      <w:rFonts w:ascii="Liberation Sans" w:hAnsi="Liberation Sans" w:eastAsia="Noto Sans CJK SC Regular" w:cs="FreeSans"/>
      <w:b/>
      <w:bCs w:val="false"/>
      <w:smallCaps/>
      <w:sz w:val="26"/>
      <w:szCs w:val="22"/>
    </w:rPr>
  </w:style>
  <w:style w:type="paragraph" w:styleId="Titre4">
    <w:name w:val="Heading 4"/>
    <w:basedOn w:val="Titre"/>
    <w:qFormat/>
    <w:pPr>
      <w:spacing w:before="120" w:after="120"/>
      <w:ind w:left="0" w:right="0" w:hanging="0"/>
      <w:outlineLvl w:val="3"/>
    </w:pPr>
    <w:rPr>
      <w:rFonts w:ascii="Liberation Serif" w:hAnsi="Liberation Serif" w:eastAsia="SimSun" w:cs="Mangal"/>
      <w:b/>
      <w:bCs/>
      <w:sz w:val="24"/>
      <w:szCs w:val="24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Caractresdenumrotation">
    <w:name w:val="Caractères de numérotation"/>
    <w:qFormat/>
    <w:rPr/>
  </w:style>
  <w:style w:type="character" w:styleId="LienInternetvisit">
    <w:name w:val="Lien Internet visité"/>
    <w:rPr>
      <w:color w:val="800000"/>
      <w:u w:val="single"/>
      <w:lang w:val="zxx" w:eastAsia="zxx" w:bidi="zxx"/>
    </w:rPr>
  </w:style>
  <w:style w:type="character" w:styleId="Accentuationforte">
    <w:name w:val="Accentuation forte"/>
    <w:qFormat/>
    <w:rPr>
      <w:b/>
      <w:bCs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sdetexte">
    <w:name w:val="Body Text"/>
    <w:basedOn w:val="Normal"/>
    <w:pPr>
      <w:spacing w:lineRule="auto" w:line="240" w:before="0" w:after="57"/>
      <w:ind w:left="0" w:right="0" w:firstLine="283"/>
      <w:contextualSpacing/>
    </w:pPr>
    <w:rPr>
      <w:rFonts w:ascii="Liberation Sans" w:hAnsi="Liberation Sans"/>
      <w:sz w:val="26"/>
    </w:rPr>
  </w:style>
  <w:style w:type="paragraph" w:styleId="Liste">
    <w:name w:val="List"/>
    <w:basedOn w:val="Corpsdetexte"/>
    <w:pPr/>
    <w:rPr>
      <w:rFonts w:ascii="Trebuchet MS" w:hAnsi="Trebuchet MS"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Trebuchet MS" w:hAnsi="Trebuchet MS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rebuchet MS" w:hAnsi="Trebuchet MS" w:cs="FreeSans"/>
      <w:sz w:val="24"/>
    </w:rPr>
  </w:style>
  <w:style w:type="paragraph" w:styleId="Titreprincipal">
    <w:name w:val="Title"/>
    <w:basedOn w:val="Titre"/>
    <w:qFormat/>
    <w:pPr>
      <w:jc w:val="center"/>
    </w:pPr>
    <w:rPr>
      <w:rFonts w:ascii="Verdana" w:hAnsi="Verdana"/>
      <w:b/>
      <w:bCs w:val="false"/>
      <w:sz w:val="56"/>
      <w:szCs w:val="56"/>
    </w:rPr>
  </w:style>
  <w:style w:type="paragraph" w:styleId="Contenudetableau">
    <w:name w:val="Contenu de tableau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ImpressionCours</Template>
  <TotalTime>358</TotalTime>
  <Application>LibreOffice/5.1.6.2$Linux_X86_64 LibreOffice_project/10m0$Build-2</Application>
  <Pages>1</Pages>
  <Words>334</Words>
  <Characters>1294</Characters>
  <CharactersWithSpaces>1544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2018-06-30T08:19:50Z</dcterms:created>
  <dc:creator/>
  <dc:description/>
  <dc:language>fr-FR</dc:language>
  <cp:lastModifiedBy/>
  <cp:lastPrinted>2020-01-20T14:43:49Z</cp:lastPrinted>
  <dcterms:modified xsi:type="dcterms:W3CDTF">2020-01-26T21:14:20Z</dcterms:modified>
  <cp:revision>28</cp:revision>
  <dc:subject/>
  <dc:title>ImpressionCours</dc:title>
</cp:coreProperties>
</file>